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15"/>
          <w:szCs w:val="15"/>
          <w:bdr w:val="none" w:color="auto" w:sz="0" w:space="0"/>
          <w:shd w:val="clear" w:fill="F0FCEE"/>
        </w:rPr>
        <w:t>招聘计划：</w:t>
      </w:r>
      <w:r>
        <w:rPr>
          <w:rFonts w:ascii="宋体" w:hAnsi="宋体" w:eastAsia="宋体" w:cs="宋体"/>
          <w:b/>
          <w:i w:val="0"/>
          <w:caps w:val="0"/>
          <w:color w:val="383838"/>
          <w:spacing w:val="0"/>
          <w:sz w:val="15"/>
          <w:szCs w:val="15"/>
          <w:bdr w:val="none" w:color="auto" w:sz="0" w:space="0"/>
          <w:shd w:val="clear" w:fill="F0FCEE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0FCEE"/>
        </w:rPr>
        <w:t>（实际招聘信息以我院官网发布的</w:t>
      </w:r>
      <w:r>
        <w:rPr>
          <w:rFonts w:ascii="宋体" w:hAnsi="宋体" w:eastAsia="宋体" w:cs="宋体"/>
          <w:b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0FCEE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0FCEE"/>
        </w:rPr>
        <w:t>年公开招聘考试公告为准。）</w:t>
      </w:r>
    </w:p>
    <w:tbl>
      <w:tblPr>
        <w:tblW w:w="9433" w:type="dxa"/>
        <w:tblInd w:w="0" w:type="dxa"/>
        <w:shd w:val="clear" w:color="auto" w:fill="F0FC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15"/>
        <w:gridCol w:w="825"/>
        <w:gridCol w:w="674"/>
        <w:gridCol w:w="674"/>
        <w:gridCol w:w="674"/>
        <w:gridCol w:w="1576"/>
        <w:gridCol w:w="644"/>
        <w:gridCol w:w="644"/>
        <w:gridCol w:w="1592"/>
      </w:tblGrid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高层次人才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（学术带头人）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及以上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及以上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专业及其他要求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感染内科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内分泌科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血液肿瘤科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肾内科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风湿免疫科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肿瘤放化疗科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核工程类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高级物理师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肝脾外科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胆胰外科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胃结肠外科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直肠肛门外科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综合外科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颈部外科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乳腺外科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血管外科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心胸外科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CCU1人，体外循环1人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硕士岗位为小儿神经外科方向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泌尿外科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创伤骨科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手显微外科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脊柱外科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关节与骨病外科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儿童骨科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生殖医学中心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实验人员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生殖医学方向或动物胚胎学方向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医技人员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中级及以上职称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硕士岗位规培完成优先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耳鼻咽喉科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烧伤科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硕博岗位口内和口外各1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急诊医学科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全科医学科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全科医学专业优先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儿童感染科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儿童ICU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儿童呼吸科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儿童变态反应（过敏）与免疫科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儿童睡眠医学科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儿童神经科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儿童消化科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儿童心血管科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博士岗位要求心内方向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儿童肾脏科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儿童血液科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新生儿科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儿童遗传代谢与内分泌科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儿童风湿科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儿童保健科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儿童康复科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儿童精神心理科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小儿外科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硕士岗位历届生要求小儿外科相关工作经历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神经病学、老年医学及内科学相关专业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身心医学科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精神病学及内科学相关专业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中医学、中西医结合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硕士岗位妇科、骨伤、内科专业各1，中西医结合专业要求本科为中医学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康复医学科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针灸推拿、临床医学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医技人员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康复治疗学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神经康复科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超声影像科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介入医生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介入方向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核医学科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CET4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麻醉学或临床医学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疼痛科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硕士岗位要求完成规培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临床检验中心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医技人员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临床检验诊断学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药学部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药剂人员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医药相关专业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药剂人员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病理学与病理生理学或临床医学相关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输血科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医技人员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CET4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营养科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医技人员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临床医学、营养学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科研中心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实验人员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医学、生物学、化学相关专业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平台管理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临床研究中心/药物临床试验机构办公室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检验医学、生物医学及相关专业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医疗质量管理与统计处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流行病学或卫生统计专业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临床工程处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生物医学工程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院长办公室/临床学院办公室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新闻学、汉语言文学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医务处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法学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行政管理、卫生事业管理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信息技术中心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计算机科学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麻醉重点实验室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骨科重点实验室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妇产科学研究所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儿科重点实验室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康复医学实验室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小儿外科实验室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秦樾团队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谭毅团队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葛仁山团队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陈浩林团队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王传贵团队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注1：高层次人才（学术带头人）要求：正高职称，硕士及以上学历，三甲医院相关专业工作经验,英语等级不做要求；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注2：除特别注明的岗位，其余均要求为2018年应届毕业生，通过CET6；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注3：博士岗位全年开放招聘，不受届别限制；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注4：临床七年制和肿瘤学硕士研究生可以报考相关专业的岗位；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注5：年龄要求根据上级相关规定执行：硕士或中级以下职称人员，年龄要求35周岁以下；博士或高级职称的人员，年龄要求45周岁以下。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5"/>
          <w:szCs w:val="15"/>
        </w:rPr>
      </w:pPr>
      <w:r>
        <w:rPr>
          <w:rFonts w:ascii="宋体" w:hAnsi="宋体" w:eastAsia="宋体" w:cs="宋体"/>
          <w:b/>
          <w:i w:val="0"/>
          <w:caps w:val="0"/>
          <w:color w:val="383838"/>
          <w:spacing w:val="0"/>
          <w:sz w:val="15"/>
          <w:szCs w:val="15"/>
          <w:bdr w:val="none" w:color="auto" w:sz="0" w:space="0"/>
          <w:shd w:val="clear" w:fill="F0FCE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8192B"/>
    <w:rsid w:val="0B681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2017-12-06T03:56:00Z</dcterms:created>
  <dc:creator>ASUS</dc:creator>
  <cp:lastModifiedBy>ASUS</cp:lastModifiedBy>
  <dcterms:modified xsi:type="dcterms:W3CDTF">2017-12-06T03:57:03Z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