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Verdana" w:hAnsi="Verdana" w:eastAsia="宋体" w:cs="Verdana"/>
          <w:i w:val="0"/>
          <w:caps w:val="0"/>
          <w:color w:val="333333"/>
          <w:spacing w:val="0"/>
          <w:kern w:val="0"/>
          <w:sz w:val="17"/>
          <w:szCs w:val="17"/>
          <w:shd w:val="clear" w:fill="DAF3FD"/>
          <w:lang w:val="en-US" w:eastAsia="zh-CN" w:bidi="ar"/>
        </w:rPr>
        <w:t>人才引进类别与相关待遇</w:t>
      </w:r>
    </w:p>
    <w:tbl>
      <w:tblPr>
        <w:tblW w:w="9620" w:type="dxa"/>
        <w:tblInd w:w="0" w:type="dxa"/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394"/>
        <w:gridCol w:w="788"/>
        <w:gridCol w:w="876"/>
        <w:gridCol w:w="993"/>
        <w:gridCol w:w="788"/>
        <w:gridCol w:w="788"/>
        <w:gridCol w:w="1198"/>
        <w:gridCol w:w="1007"/>
      </w:tblGrid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bookmarkStart w:id="0" w:name="_GoBack"/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人才类别</w:t>
            </w:r>
          </w:p>
        </w:tc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人才范围</w:t>
            </w:r>
          </w:p>
        </w:tc>
        <w:tc>
          <w:tcPr>
            <w:tcW w:w="54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引进待遇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最低服务期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赠房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或相应购房补贴（单位：万元）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校内过渡房</w:t>
            </w:r>
          </w:p>
        </w:tc>
        <w:tc>
          <w:tcPr>
            <w:tcW w:w="1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科研配套经费（单位：万元）</w:t>
            </w:r>
          </w:p>
        </w:tc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岗位待遇</w:t>
            </w: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自然科学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0"/>
                <w:szCs w:val="20"/>
              </w:rPr>
              <w:t>人文社科</w:t>
            </w:r>
          </w:p>
        </w:tc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一类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中国科学院院士、中国工程院院士、中国社科院学部委员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200～500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年薪120～150万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二类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长江学者、国家杰青、国千（创新人才长期项目、外专千人项目人才）、万人计划创新与哲学社会科学领军人才、国家教学名师、浙江省特级专家等相当层次人才。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120～160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200～800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100～200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基础年薪50万，目标绩效10～50万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三类</w:t>
            </w:r>
          </w:p>
        </w:tc>
        <w:tc>
          <w:tcPr>
            <w:tcW w:w="2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国家优青、国家青年千人、国家万人计划青年拔尖人才、长江学者青年人才、国家百千万人才、国家文化系统“四个一批”人才、中科院“百人计划”人才等相当层次人才。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120 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70～90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100～200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20～50</w:t>
            </w:r>
          </w:p>
        </w:tc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基础年薪30万目标绩效10～30万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四类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省“千人计划”（创新项目）、钱江特聘教授以及各省（市）相当层次的人才。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115m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60～80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50～100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10～50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基础年薪20万，目标绩效5～20万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五类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优秀外国专家（教授、副教授）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免费提供外专住房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月薪2～10万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六类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优秀教授（具有博士学位）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110 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40～60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10～30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10～20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岗位工资，或基础年薪15万，目标绩效5～10万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七类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优秀博士、博士后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15～45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2年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5～15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3～10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岗位工资，或基础年薪10万，加目标绩效5～8万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/>
              </w:rPr>
              <w:t>8年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B1CFB"/>
    <w:rsid w:val="3EDB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2017-09-21T10:40:00Z</dcterms:created>
  <dc:creator>ASUS</dc:creator>
  <cp:lastModifiedBy>ASUS</cp:lastModifiedBy>
  <dcterms:modified xsi:type="dcterms:W3CDTF">2017-09-21T10:40:59Z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