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60" w:firstLineChars="150"/>
        <w:rPr>
          <w:rFonts w:asciiTheme="majorEastAsia" w:hAnsiTheme="majorEastAsia" w:eastAsiaTheme="majorEastAsia"/>
          <w:sz w:val="44"/>
          <w:szCs w:val="44"/>
        </w:rPr>
      </w:pPr>
      <w:bookmarkStart w:id="0" w:name="_GoBack"/>
      <w:bookmarkEnd w:id="0"/>
      <w:r>
        <w:rPr>
          <w:rFonts w:hint="eastAsia" w:asciiTheme="majorEastAsia" w:hAnsiTheme="majorEastAsia" w:eastAsiaTheme="majorEastAsia"/>
          <w:sz w:val="44"/>
          <w:szCs w:val="44"/>
        </w:rPr>
        <w:t>绍兴市直属医疗卫生计生单位2017年度</w:t>
      </w:r>
    </w:p>
    <w:p>
      <w:pPr>
        <w:spacing w:line="560" w:lineRule="exact"/>
        <w:ind w:firstLine="1980" w:firstLineChars="450"/>
        <w:rPr>
          <w:rFonts w:asciiTheme="majorEastAsia" w:hAnsiTheme="majorEastAsia" w:eastAsiaTheme="majorEastAsia"/>
          <w:sz w:val="44"/>
          <w:szCs w:val="44"/>
        </w:rPr>
      </w:pPr>
      <w:r>
        <w:rPr>
          <w:rFonts w:hint="eastAsia" w:asciiTheme="majorEastAsia" w:hAnsiTheme="majorEastAsia" w:eastAsiaTheme="majorEastAsia"/>
          <w:sz w:val="44"/>
          <w:szCs w:val="44"/>
        </w:rPr>
        <w:t xml:space="preserve">公开招聘工作人员公告 </w:t>
      </w:r>
    </w:p>
    <w:p>
      <w:pPr>
        <w:spacing w:line="560" w:lineRule="exact"/>
      </w:pPr>
      <w: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为满足市直单位补充工作人员的需要，经绍兴市人力资源和社会保障局同意，绍兴市卫生计生委决定统一组织开展市直单位2017年度医学类专业新增工作人员公开招聘工作。现就有关事项公告如下：</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一、招聘计划</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绍兴市12家直属医疗卫生单位面向社会公开招聘医学类专业2017年应届毕业生147名。具体招聘单位、岗位、人数、学历、专业和有关要求等详见附件。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二、报考基本条件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遵纪守法、品行端正，具有良好的思想政治素质；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全日制普通高校2017届本专科毕业生，符合招聘岗位所需的专业，具有相应的专业知识或资格；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身体健康，具备岗位要求的身体条件；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年龄要求在30周岁以下（即1986年1月1日以后出生）；研究生学历的可放宽到35周岁以下（即1981年1月1日以后出生）；</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西药剂人员岗位所需专业应为医学类、药学类全日制普通高校药学等专业；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因工作需要，报考护理岗位原则上身高155cm以上；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户籍不限。</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三、招聘方法和步骤</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（一）报名与资格审查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pacing w:val="-20"/>
          <w:sz w:val="32"/>
          <w:szCs w:val="32"/>
        </w:rPr>
        <w:t>　1</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网上报名。请应聘人员（</w:t>
      </w:r>
      <w:r>
        <w:rPr>
          <w:rFonts w:hint="eastAsia" w:ascii="仿宋_GB2312" w:hAnsi="仿宋_GB2312" w:eastAsia="仿宋_GB2312" w:cs="仿宋_GB2312"/>
          <w:sz w:val="32"/>
          <w:szCs w:val="32"/>
        </w:rPr>
        <w:t>已被确定为绍兴市卫生计生委直属单位院校招聘2017届毕业生拟录取人员除外）。</w:t>
      </w:r>
      <w:r>
        <w:rPr>
          <w:rFonts w:hint="eastAsia" w:ascii="仿宋_GB2312" w:hAnsi="仿宋_GB2312" w:eastAsia="仿宋_GB2312" w:cs="仿宋_GB2312"/>
          <w:spacing w:val="-20"/>
          <w:sz w:val="32"/>
          <w:szCs w:val="32"/>
        </w:rPr>
        <w:t>进入</w:t>
      </w:r>
      <w:r>
        <w:rPr>
          <w:rFonts w:hint="eastAsia" w:ascii="仿宋_GB2312" w:hAnsi="仿宋_GB2312" w:eastAsia="仿宋_GB2312" w:cs="仿宋_GB2312"/>
          <w:sz w:val="32"/>
          <w:szCs w:val="32"/>
        </w:rPr>
        <w:t>绍兴市卫生计生委官网</w:t>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"http://www.sxws.gov.cn/"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pacing w:val="-20"/>
          <w:sz w:val="32"/>
          <w:szCs w:val="32"/>
        </w:rPr>
        <w:t>http://www.sxws.gov.cn/</w:t>
      </w:r>
      <w:r>
        <w:rPr>
          <w:rStyle w:val="5"/>
          <w:rFonts w:hint="eastAsia" w:ascii="仿宋_GB2312" w:hAnsi="仿宋_GB2312" w:eastAsia="仿宋_GB2312" w:cs="仿宋_GB2312"/>
          <w:spacing w:val="-20"/>
          <w:sz w:val="32"/>
          <w:szCs w:val="32"/>
        </w:rPr>
        <w:fldChar w:fldCharType="end"/>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sz w:val="32"/>
          <w:szCs w:val="32"/>
        </w:rPr>
        <w:t>报名系统进行网上报名和上传照片。每人限报一个岗位，多报无效。报名完成后请自行打印绍兴市直属医疗卫生单位公开招聘工作人员报名表一式2份，并在承诺栏由应聘人员本人签名后送资格审查。</w:t>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报名时间：</w:t>
      </w:r>
      <w:r>
        <w:rPr>
          <w:rFonts w:hint="eastAsia" w:ascii="仿宋_GB2312" w:hAnsi="仿宋_GB2312" w:eastAsia="仿宋_GB2312" w:cs="仿宋_GB2312"/>
          <w:color w:val="000000" w:themeColor="text1"/>
          <w:sz w:val="32"/>
          <w:szCs w:val="32"/>
          <w14:textFill>
            <w14:solidFill>
              <w14:schemeClr w14:val="tx1"/>
            </w14:solidFill>
          </w14:textFill>
        </w:rPr>
        <w:t>自2017年1月20日9时起到2017年2月4日12时止（春节期间1月26日16时至2月3日9时报名系统关闭）。</w:t>
      </w:r>
    </w:p>
    <w:p>
      <w:pPr>
        <w:spacing w:line="560" w:lineRule="exact"/>
        <w:ind w:firstLine="739" w:firstLineChars="2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资格审查。由各招聘单位对已网上报名的应聘人员进行现场资格审查。请应聘人员本人携带报名表、有效居民身份证等相关证件原件及复印件、加盖学校公章的毕业生就业推荐表、协议书原件及复印件等资料，按时到招聘现场接受资格审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现场资格审查时间：2017年2月6日（周一）8：30—16：00。逾期视作放弃。地点：绍兴市继续医学教育中心（绍兴市城东五泄路172号）。</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资格审查通过的，由绍兴市卫生计生委对其进行确认。仅网上报名而未经资格审查和确认的无效。资格审查合格的应聘人员须按规定缴纳考务费（收费标准：笔试每人40元）。未缴费的，视为自动放弃考试资格。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网上打印准考证。经资格审查合格并确认的应聘人员，请在2017年2月7日-8日9时至17时进入绍兴市卫生计生委官网</w:t>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"http://www.sxws.gov.cn/"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pacing w:val="-20"/>
          <w:sz w:val="32"/>
          <w:szCs w:val="32"/>
        </w:rPr>
        <w:t>http://www.sxws.gov.cn/</w:t>
      </w:r>
      <w:r>
        <w:rPr>
          <w:rStyle w:val="5"/>
          <w:rFonts w:hint="eastAsia" w:ascii="仿宋_GB2312" w:hAnsi="仿宋_GB2312" w:eastAsia="仿宋_GB2312" w:cs="仿宋_GB2312"/>
          <w:spacing w:val="-20"/>
          <w:sz w:val="32"/>
          <w:szCs w:val="32"/>
        </w:rPr>
        <w:fldChar w:fldCharType="end"/>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sz w:val="32"/>
          <w:szCs w:val="32"/>
        </w:rPr>
        <w:t>报名系统自行打印准考证，并仔细核对准考证，如有差错，请于2月9日当天16时前到绍兴市卫生计生委政治处更正（绍兴市区八字桥直街167号306室）。</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为了体现公平竞争，同一岗位符合条件的报名考生与对应岗位招聘人数之比原则上不低于3：1，如达不到规定比例的，经人社局同意可适当降低。不能开考的，报考该岗位应聘人员可在规定时间内改报。</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采取笔试形式，由市卫生计生委负责组织实施。笔试内容：临床类考医学“三基”知识，护理类考护理“三基”知识，中医、中药类考中医药基础知识，其他类考医学基础知识。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笔试时间为2017年2月11日下午13：30—16：00。应聘人员应持本人身份证和准考证参加考试。具体考试时间、地点以准考证上明确的时间地点为准。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笔试成绩于2月15日前在绍兴市卫生计生委网站上公布。根据应聘人员笔试成绩，从高分到低分每个岗位按1：1的比例确定体检对象。合并岗位的考生，根据招考计划数按笔试成绩从高分到低分由考生自主选择该岗位所推出的招聘单位及相应岗位，如考生自动放弃择岗，则不再进行递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应聘人员可登陆绍兴市卫生计生委网站查看体检人员名单。如因笔试成绩并列，拟体检人员数量超过该岗位招聘计划数的，则对成绩并列人员进行面试，根据面试成绩确定体检对象。</w:t>
      </w:r>
    </w:p>
    <w:p>
      <w:pPr>
        <w:widowControl/>
        <w:numPr>
          <w:ilvl w:val="0"/>
          <w:numId w:val="1"/>
        </w:numPr>
        <w:snapToGrid w:val="0"/>
        <w:spacing w:line="560" w:lineRule="exact"/>
        <w:ind w:firstLine="6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体检由绍兴市卫生计生委牵头组织，参考《浙江省人事厅、浙江省卫生厅转发人事部、卫生部关于印发&lt;公务员录用体检通用标准（试行）&gt;的通知》（浙人公﹝2005﹞68号）及人力资源和社会保障部、卫生部《修订&lt;公务员录用体检通用标准（试行）&gt;和&lt;公务员录用体检手册（试行）&gt;》执行。费用由考生自理。不按规定时间、地点参加体检视作自动放弃。</w:t>
      </w:r>
    </w:p>
    <w:p>
      <w:pPr>
        <w:widowControl/>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考察</w:t>
      </w:r>
    </w:p>
    <w:p>
      <w:pPr>
        <w:widowControl/>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对体检合格的考生由招聘单位参照国家公务员局《关于做好公务员录用考察工作的通知》（国公局发〔2013〕2号）进行考察。</w:t>
      </w:r>
    </w:p>
    <w:p>
      <w:pPr>
        <w:widowControl/>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（五）公示与聘用</w:t>
      </w:r>
    </w:p>
    <w:p>
      <w:pPr>
        <w:widowControl/>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考察合格人员在绍兴市卫生计生委门户网站进行公示，公示期为7个工作日。经公示没有异议或有问题经查实不影响聘用的，上报市人力资源和社会保障局审批。批准后，招聘单位与拟聘用人员应在规定时间内办理聘用手续。试用期按国家有关规定执行。拟聘用人员不按时办理聘用手续的视作自动放弃。已签订协议的人员无正当理由逾期不报到的，取消其聘用资格。</w:t>
      </w:r>
    </w:p>
    <w:p>
      <w:pPr>
        <w:widowControl/>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拟聘人员在2017年8月30日前不能取得报考岗位规定学历、学位证书的，视作放弃聘用资格。</w:t>
      </w:r>
    </w:p>
    <w:p>
      <w:pPr>
        <w:widowControl/>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原则上招录人员首期聘用服务期限不低于5年(参加住院医师规范化培训的不低于6年)，聘用期内不允许调动和报考其他单位。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四、注意事项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提交的报考信息和材料应当真实、准确、有效。如因选报岗位不当或所填写内容不真实、不准确、不全面而影响本人考试或聘用的，由考生本人负责。凡提供虚假材料获取报考资格的，一经查实，即取消考试或聘用资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聘用上岗后，拟从事临床工作的临床、口腔等医学专业毕业生，将按照《浙江省住院医师规范化培训实施办法（试行）》的有关规定，参加住院医师规范化培训。</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招聘工作接受绍兴市人力社保局的指导监督。考试违纪违规行为的认定和处理按有关规定执行。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招聘单位情况简介请到网上查询。</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咨询电话：政策咨询电话为0575-85080558、85080073；网上报名技术咨询电话为0575-85080562、85080561。</w:t>
      </w:r>
    </w:p>
    <w:p>
      <w:pPr>
        <w:spacing w:line="560" w:lineRule="exact"/>
        <w:ind w:firstLine="630"/>
        <w:rPr>
          <w:rFonts w:hint="eastAsia" w:ascii="仿宋_GB2312" w:hAnsi="仿宋_GB2312" w:eastAsia="仿宋_GB2312" w:cs="仿宋_GB2312"/>
          <w:sz w:val="32"/>
          <w:szCs w:val="32"/>
        </w:rPr>
      </w:pP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绍兴市卫生计生委</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2017年1月17日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sectPr>
          <w:footerReference r:id="rId3" w:type="default"/>
          <w:pgSz w:w="11906" w:h="16838"/>
          <w:pgMar w:top="1531" w:right="1587" w:bottom="1531" w:left="1587" w:header="851" w:footer="992" w:gutter="0"/>
          <w:cols w:space="0" w:num="1"/>
          <w:rtlGutter w:val="0"/>
          <w:docGrid w:type="lines" w:linePitch="312" w:charSpace="0"/>
        </w:sectPr>
      </w:pPr>
    </w:p>
    <w:tbl>
      <w:tblPr>
        <w:tblStyle w:val="6"/>
        <w:tblpPr w:leftFromText="180" w:rightFromText="180" w:horzAnchor="margin" w:tblpY="-411"/>
        <w:tblW w:w="14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264"/>
        <w:gridCol w:w="1836"/>
        <w:gridCol w:w="1080"/>
        <w:gridCol w:w="920"/>
        <w:gridCol w:w="2100"/>
        <w:gridCol w:w="202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474" w:type="dxa"/>
            <w:gridSpan w:val="8"/>
            <w:tcBorders>
              <w:top w:val="nil"/>
              <w:left w:val="nil"/>
              <w:right w:val="nil"/>
            </w:tcBorders>
            <w:shd w:val="clear" w:color="auto" w:fill="auto"/>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绍兴市直属医疗卫生计生单位2017年公开招聘工作人员计划表（147人）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480" w:type="dxa"/>
            <w:gridSpan w:val="3"/>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招聘单位和招聘岗位</w:t>
            </w:r>
          </w:p>
        </w:tc>
        <w:tc>
          <w:tcPr>
            <w:tcW w:w="1080"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招聘人数</w:t>
            </w:r>
          </w:p>
        </w:tc>
        <w:tc>
          <w:tcPr>
            <w:tcW w:w="920"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学历</w:t>
            </w:r>
          </w:p>
        </w:tc>
        <w:tc>
          <w:tcPr>
            <w:tcW w:w="2100"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专业</w:t>
            </w:r>
          </w:p>
        </w:tc>
        <w:tc>
          <w:tcPr>
            <w:tcW w:w="2020"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其它要求</w:t>
            </w:r>
          </w:p>
        </w:tc>
        <w:tc>
          <w:tcPr>
            <w:tcW w:w="1874"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480" w:type="dxa"/>
            <w:gridSpan w:val="3"/>
            <w:vMerge w:val="continue"/>
            <w:vAlign w:val="center"/>
          </w:tcPr>
          <w:p>
            <w:pPr>
              <w:widowControl/>
              <w:jc w:val="left"/>
              <w:rPr>
                <w:rFonts w:ascii="黑体" w:hAnsi="黑体" w:eastAsia="黑体" w:cs="宋体"/>
                <w:color w:val="000000"/>
                <w:kern w:val="0"/>
                <w:sz w:val="24"/>
                <w:szCs w:val="24"/>
              </w:rPr>
            </w:pPr>
          </w:p>
        </w:tc>
        <w:tc>
          <w:tcPr>
            <w:tcW w:w="1080" w:type="dxa"/>
            <w:vMerge w:val="continue"/>
            <w:vAlign w:val="center"/>
          </w:tcPr>
          <w:p>
            <w:pPr>
              <w:widowControl/>
              <w:jc w:val="left"/>
              <w:rPr>
                <w:rFonts w:ascii="黑体" w:hAnsi="黑体" w:eastAsia="黑体" w:cs="宋体"/>
                <w:color w:val="000000"/>
                <w:kern w:val="0"/>
                <w:sz w:val="24"/>
                <w:szCs w:val="24"/>
              </w:rPr>
            </w:pPr>
          </w:p>
        </w:tc>
        <w:tc>
          <w:tcPr>
            <w:tcW w:w="920" w:type="dxa"/>
            <w:vMerge w:val="continue"/>
            <w:vAlign w:val="center"/>
          </w:tcPr>
          <w:p>
            <w:pPr>
              <w:widowControl/>
              <w:jc w:val="left"/>
              <w:rPr>
                <w:rFonts w:ascii="黑体" w:hAnsi="黑体" w:eastAsia="黑体" w:cs="宋体"/>
                <w:color w:val="000000"/>
                <w:kern w:val="0"/>
                <w:sz w:val="24"/>
                <w:szCs w:val="24"/>
              </w:rPr>
            </w:pPr>
          </w:p>
        </w:tc>
        <w:tc>
          <w:tcPr>
            <w:tcW w:w="2100" w:type="dxa"/>
            <w:vMerge w:val="continue"/>
            <w:vAlign w:val="center"/>
          </w:tcPr>
          <w:p>
            <w:pPr>
              <w:widowControl/>
              <w:jc w:val="left"/>
              <w:rPr>
                <w:rFonts w:ascii="黑体" w:hAnsi="黑体" w:eastAsia="黑体" w:cs="宋体"/>
                <w:color w:val="000000"/>
                <w:kern w:val="0"/>
                <w:sz w:val="24"/>
                <w:szCs w:val="24"/>
              </w:rPr>
            </w:pPr>
          </w:p>
        </w:tc>
        <w:tc>
          <w:tcPr>
            <w:tcW w:w="2020" w:type="dxa"/>
            <w:vMerge w:val="continue"/>
            <w:vAlign w:val="center"/>
          </w:tcPr>
          <w:p>
            <w:pPr>
              <w:widowControl/>
              <w:jc w:val="left"/>
              <w:rPr>
                <w:rFonts w:ascii="黑体" w:hAnsi="黑体" w:eastAsia="黑体" w:cs="宋体"/>
                <w:color w:val="000000"/>
                <w:kern w:val="0"/>
                <w:sz w:val="24"/>
                <w:szCs w:val="24"/>
              </w:rPr>
            </w:pPr>
          </w:p>
        </w:tc>
        <w:tc>
          <w:tcPr>
            <w:tcW w:w="1874" w:type="dxa"/>
            <w:vMerge w:val="continue"/>
            <w:vAlign w:val="center"/>
          </w:tcPr>
          <w:p>
            <w:pPr>
              <w:widowControl/>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临床医生1（14人）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绍兴市立医院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心脑电图医生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w:t>
            </w:r>
          </w:p>
        </w:tc>
        <w:tc>
          <w:tcPr>
            <w:tcW w:w="20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医学“三基”知识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绍兴市妇幼保健院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妇产科医生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心脑电图医生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精神科医生（男性）</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continue"/>
            <w:vAlign w:val="center"/>
          </w:tcPr>
          <w:p>
            <w:pPr>
              <w:widowControl/>
              <w:jc w:val="left"/>
              <w:rPr>
                <w:rFonts w:ascii="宋体" w:hAnsi="宋体" w:eastAsia="宋体" w:cs="宋体"/>
                <w:color w:val="000000"/>
                <w:kern w:val="0"/>
                <w:sz w:val="20"/>
                <w:szCs w:val="20"/>
              </w:rPr>
            </w:pP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continue"/>
            <w:vAlign w:val="center"/>
          </w:tcPr>
          <w:p>
            <w:pPr>
              <w:widowControl/>
              <w:jc w:val="left"/>
              <w:rPr>
                <w:rFonts w:ascii="宋体" w:hAnsi="宋体" w:eastAsia="宋体" w:cs="宋体"/>
                <w:color w:val="000000"/>
                <w:kern w:val="0"/>
                <w:sz w:val="20"/>
                <w:szCs w:val="20"/>
              </w:rPr>
            </w:pP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外科医生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神经外科</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continue"/>
            <w:vAlign w:val="center"/>
          </w:tcPr>
          <w:p>
            <w:pPr>
              <w:widowControl/>
              <w:jc w:val="left"/>
              <w:rPr>
                <w:rFonts w:ascii="宋体" w:hAnsi="宋体" w:eastAsia="宋体" w:cs="宋体"/>
                <w:color w:val="000000"/>
                <w:kern w:val="0"/>
                <w:sz w:val="20"/>
                <w:szCs w:val="20"/>
              </w:rPr>
            </w:pP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急诊内科</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continue"/>
            <w:vAlign w:val="center"/>
          </w:tcPr>
          <w:p>
            <w:pPr>
              <w:widowControl/>
              <w:jc w:val="left"/>
              <w:rPr>
                <w:rFonts w:ascii="宋体" w:hAnsi="宋体" w:eastAsia="宋体" w:cs="宋体"/>
                <w:color w:val="000000"/>
                <w:kern w:val="0"/>
                <w:sz w:val="20"/>
                <w:szCs w:val="20"/>
              </w:rPr>
            </w:pP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ICU</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vMerge w:val="continue"/>
            <w:vAlign w:val="center"/>
          </w:tcPr>
          <w:p>
            <w:pPr>
              <w:widowControl/>
              <w:jc w:val="left"/>
              <w:rPr>
                <w:rFonts w:ascii="宋体" w:hAnsi="宋体" w:eastAsia="宋体" w:cs="宋体"/>
                <w:color w:val="000000"/>
                <w:kern w:val="0"/>
                <w:sz w:val="20"/>
                <w:szCs w:val="20"/>
              </w:rPr>
            </w:pP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院前急救</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绍兴市第五医院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外科医生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80" w:type="dxa"/>
            <w:vMerge w:val="restart"/>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儿科医生（2人）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绍兴市妇幼保健院</w:t>
            </w:r>
          </w:p>
        </w:tc>
        <w:tc>
          <w:tcPr>
            <w:tcW w:w="1836"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儿科医生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临床医学、儿科学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临床医生2（4人）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马山镇卫生院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社区医生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斗门镇卫生院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孙端镇卫生院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8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临床医生3（1人）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斗门镇卫生院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社区医生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中西医结合</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影像医生1（3人）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介入医生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临床医学、医学影像（5年制)</w:t>
            </w:r>
          </w:p>
        </w:tc>
        <w:tc>
          <w:tcPr>
            <w:tcW w:w="2020" w:type="dxa"/>
            <w:vMerge w:val="restart"/>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restart"/>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医学“三基”知识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B超心电图医生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心电图室医生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影像医生2（2人）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马山镇卫生院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医学影像医生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临床医学、医学影像学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孙端镇卫生院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放射医生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放射科技师（3人）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绍兴市立医院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放射科技师</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临床医学、医学影像学或影像技术</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放射科技师</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麻醉科医生（3人）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麻醉科医生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临床医学、麻醉学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麻醉科</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口腔科医生1（3人）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ind w:firstLine="600" w:firstLineChars="3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绍兴市口腔医院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ind w:firstLine="600" w:firstLineChars="300"/>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口腔科医生2（1人）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马山镇卫生院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病理科医生（1人）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病理科医生</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临床医学、病理学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公共卫生科人员（1人）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公共卫生科</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预防医学</w:t>
            </w:r>
          </w:p>
        </w:tc>
        <w:tc>
          <w:tcPr>
            <w:tcW w:w="2020" w:type="dxa"/>
            <w:vMerge w:val="restart"/>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医学基础知识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营养师（1人）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营养师</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临床营养、医学营养等相关专业</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康复治疗人员（1人）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男病区康复治疗师</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康复医学、康复治疗技术等相关专业</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药剂人员（1人）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绍兴市立医院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药剂人员</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中药剂科人员（2人）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绍兴市中医院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中药剂人员</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rPr>
                <w:rFonts w:ascii="宋体" w:hAnsi="宋体" w:eastAsia="宋体" w:cs="宋体"/>
                <w:color w:val="000000"/>
                <w:kern w:val="0"/>
                <w:sz w:val="20"/>
                <w:szCs w:val="20"/>
              </w:rPr>
            </w:pP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中药学</w:t>
            </w:r>
          </w:p>
          <w:p>
            <w:pPr>
              <w:rPr>
                <w:rFonts w:ascii="宋体" w:hAnsi="宋体" w:eastAsia="宋体" w:cs="宋体"/>
                <w:color w:val="000000"/>
                <w:kern w:val="0"/>
                <w:sz w:val="20"/>
                <w:szCs w:val="20"/>
              </w:rPr>
            </w:pPr>
          </w:p>
        </w:tc>
        <w:tc>
          <w:tcPr>
            <w:tcW w:w="2020" w:type="dxa"/>
            <w:vMerge w:val="restart"/>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中医药基础知识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中药房人员（1人）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孙端镇卫生院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中药剂人员</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w:t>
            </w:r>
          </w:p>
        </w:tc>
        <w:tc>
          <w:tcPr>
            <w:tcW w:w="2100" w:type="dxa"/>
            <w:vMerge w:val="continue"/>
            <w:shd w:val="clear" w:color="auto" w:fill="auto"/>
            <w:vAlign w:val="center"/>
          </w:tcPr>
          <w:p>
            <w:pPr>
              <w:widowControl/>
              <w:jc w:val="center"/>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检验人员1（1人）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绍兴市中心血站</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血液检测岗人员</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医学检验</w:t>
            </w:r>
          </w:p>
        </w:tc>
        <w:tc>
          <w:tcPr>
            <w:tcW w:w="20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无经血传播疾病或病原携带</w:t>
            </w:r>
          </w:p>
        </w:tc>
        <w:tc>
          <w:tcPr>
            <w:tcW w:w="187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医学基础知识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检验人员2（1人）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马山镇卫生院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检验人员</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w:t>
            </w: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检验医学、医学检验</w:t>
            </w:r>
          </w:p>
        </w:tc>
        <w:tc>
          <w:tcPr>
            <w:tcW w:w="20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护士1（55人）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绍兴市人民医院</w:t>
            </w:r>
          </w:p>
        </w:tc>
        <w:tc>
          <w:tcPr>
            <w:tcW w:w="1836"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护士</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护理学</w:t>
            </w:r>
          </w:p>
        </w:tc>
        <w:tc>
          <w:tcPr>
            <w:tcW w:w="2020" w:type="dxa"/>
            <w:vMerge w:val="restart"/>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护理“三基”知识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绍兴市立医院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绍兴市妇幼保健院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绍兴市第七人民医院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绍兴市中心血站</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jc w:val="left"/>
              <w:rPr>
                <w:rFonts w:ascii="宋体" w:hAnsi="宋体" w:eastAsia="宋体" w:cs="宋体"/>
                <w:color w:val="000000"/>
                <w:kern w:val="0"/>
                <w:sz w:val="20"/>
                <w:szCs w:val="20"/>
              </w:rPr>
            </w:pPr>
          </w:p>
        </w:tc>
        <w:tc>
          <w:tcPr>
            <w:tcW w:w="2100" w:type="dxa"/>
            <w:vMerge w:val="continue"/>
            <w:vAlign w:val="center"/>
          </w:tcPr>
          <w:p>
            <w:pPr>
              <w:jc w:val="left"/>
              <w:rPr>
                <w:rFonts w:ascii="宋体" w:hAnsi="宋体" w:eastAsia="宋体" w:cs="宋体"/>
                <w:color w:val="000000"/>
                <w:kern w:val="0"/>
                <w:sz w:val="20"/>
                <w:szCs w:val="20"/>
              </w:rPr>
            </w:pPr>
          </w:p>
        </w:tc>
        <w:tc>
          <w:tcPr>
            <w:tcW w:w="2020"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无经血传播疾病或病原携带</w:t>
            </w: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绍兴文理学院附属医院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restart"/>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护士2（39人）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绍兴市立医院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92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w:t>
            </w: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绍兴市第五医院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绍兴市口腔医院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助产士（2人）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绍兴市妇幼保健院</w:t>
            </w:r>
          </w:p>
        </w:tc>
        <w:tc>
          <w:tcPr>
            <w:tcW w:w="183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助产士</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护理（助产方向）或助产专业</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38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护士3（5人）</w:t>
            </w: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马山镇卫生院</w:t>
            </w:r>
          </w:p>
        </w:tc>
        <w:tc>
          <w:tcPr>
            <w:tcW w:w="1836"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社区护士</w:t>
            </w: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restart"/>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护理学</w:t>
            </w: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斗门镇卫生院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380" w:type="dxa"/>
            <w:vMerge w:val="continue"/>
            <w:vAlign w:val="center"/>
          </w:tcPr>
          <w:p>
            <w:pPr>
              <w:widowControl/>
              <w:jc w:val="left"/>
              <w:rPr>
                <w:rFonts w:ascii="宋体" w:hAnsi="宋体" w:eastAsia="宋体" w:cs="宋体"/>
                <w:color w:val="000000"/>
                <w:kern w:val="0"/>
                <w:sz w:val="20"/>
                <w:szCs w:val="20"/>
              </w:rPr>
            </w:pPr>
          </w:p>
        </w:tc>
        <w:tc>
          <w:tcPr>
            <w:tcW w:w="226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孙端镇卫生院</w:t>
            </w:r>
          </w:p>
        </w:tc>
        <w:tc>
          <w:tcPr>
            <w:tcW w:w="1836" w:type="dxa"/>
            <w:vMerge w:val="continue"/>
            <w:vAlign w:val="center"/>
          </w:tcPr>
          <w:p>
            <w:pPr>
              <w:widowControl/>
              <w:jc w:val="left"/>
              <w:rPr>
                <w:rFonts w:ascii="宋体" w:hAnsi="宋体" w:eastAsia="宋体" w:cs="宋体"/>
                <w:color w:val="000000"/>
                <w:kern w:val="0"/>
                <w:sz w:val="20"/>
                <w:szCs w:val="20"/>
              </w:rPr>
            </w:pPr>
          </w:p>
        </w:tc>
        <w:tc>
          <w:tcPr>
            <w:tcW w:w="10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vMerge w:val="continue"/>
            <w:vAlign w:val="center"/>
          </w:tcPr>
          <w:p>
            <w:pPr>
              <w:widowControl/>
              <w:jc w:val="left"/>
              <w:rPr>
                <w:rFonts w:ascii="宋体" w:hAnsi="宋体" w:eastAsia="宋体" w:cs="宋体"/>
                <w:color w:val="000000"/>
                <w:kern w:val="0"/>
                <w:sz w:val="20"/>
                <w:szCs w:val="20"/>
              </w:rPr>
            </w:pPr>
          </w:p>
        </w:tc>
        <w:tc>
          <w:tcPr>
            <w:tcW w:w="2100" w:type="dxa"/>
            <w:vMerge w:val="continue"/>
            <w:vAlign w:val="center"/>
          </w:tcPr>
          <w:p>
            <w:pPr>
              <w:widowControl/>
              <w:jc w:val="left"/>
              <w:rPr>
                <w:rFonts w:ascii="宋体" w:hAnsi="宋体" w:eastAsia="宋体" w:cs="宋体"/>
                <w:color w:val="000000"/>
                <w:kern w:val="0"/>
                <w:sz w:val="20"/>
                <w:szCs w:val="20"/>
              </w:rPr>
            </w:pPr>
          </w:p>
        </w:tc>
        <w:tc>
          <w:tcPr>
            <w:tcW w:w="2020" w:type="dxa"/>
            <w:vMerge w:val="continue"/>
            <w:vAlign w:val="center"/>
          </w:tcPr>
          <w:p>
            <w:pPr>
              <w:widowControl/>
              <w:jc w:val="left"/>
              <w:rPr>
                <w:rFonts w:ascii="宋体" w:hAnsi="宋体" w:eastAsia="宋体" w:cs="宋体"/>
                <w:color w:val="000000"/>
                <w:kern w:val="0"/>
                <w:sz w:val="20"/>
                <w:szCs w:val="20"/>
              </w:rPr>
            </w:pPr>
          </w:p>
        </w:tc>
        <w:tc>
          <w:tcPr>
            <w:tcW w:w="1874" w:type="dxa"/>
            <w:vMerge w:val="continue"/>
            <w:vAlign w:val="center"/>
          </w:tcPr>
          <w:p>
            <w:pPr>
              <w:widowControl/>
              <w:jc w:val="left"/>
              <w:rPr>
                <w:rFonts w:ascii="宋体" w:hAnsi="宋体" w:eastAsia="宋体" w:cs="宋体"/>
                <w:color w:val="000000"/>
                <w:kern w:val="0"/>
                <w:sz w:val="20"/>
                <w:szCs w:val="20"/>
              </w:rPr>
            </w:pPr>
          </w:p>
        </w:tc>
      </w:tr>
    </w:tbl>
    <w:p>
      <w:pPr>
        <w:spacing w:line="560" w:lineRule="exact"/>
        <w:rPr>
          <w:rFonts w:ascii="仿宋" w:hAnsi="仿宋" w:eastAsia="仿宋"/>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332"/>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5D33"/>
    <w:multiLevelType w:val="singleLevel"/>
    <w:tmpl w:val="58185D3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55"/>
    <w:rsid w:val="000047F5"/>
    <w:rsid w:val="00036728"/>
    <w:rsid w:val="000F7F09"/>
    <w:rsid w:val="001174E7"/>
    <w:rsid w:val="00163405"/>
    <w:rsid w:val="0017643E"/>
    <w:rsid w:val="00190130"/>
    <w:rsid w:val="00251034"/>
    <w:rsid w:val="00256228"/>
    <w:rsid w:val="002629CE"/>
    <w:rsid w:val="00270998"/>
    <w:rsid w:val="00294E41"/>
    <w:rsid w:val="002A0722"/>
    <w:rsid w:val="002C6D0A"/>
    <w:rsid w:val="002D7E55"/>
    <w:rsid w:val="00372745"/>
    <w:rsid w:val="0037344A"/>
    <w:rsid w:val="003C0EEF"/>
    <w:rsid w:val="003C1BF1"/>
    <w:rsid w:val="003E5E1D"/>
    <w:rsid w:val="00424295"/>
    <w:rsid w:val="004575E0"/>
    <w:rsid w:val="0048260E"/>
    <w:rsid w:val="004A246C"/>
    <w:rsid w:val="004A36D5"/>
    <w:rsid w:val="004E2D21"/>
    <w:rsid w:val="004F41D5"/>
    <w:rsid w:val="00510B61"/>
    <w:rsid w:val="005469E4"/>
    <w:rsid w:val="005B19D3"/>
    <w:rsid w:val="005B1C0E"/>
    <w:rsid w:val="005B2339"/>
    <w:rsid w:val="005D7314"/>
    <w:rsid w:val="0070600A"/>
    <w:rsid w:val="00746048"/>
    <w:rsid w:val="00747E12"/>
    <w:rsid w:val="007763E3"/>
    <w:rsid w:val="007F0AD2"/>
    <w:rsid w:val="00841B1D"/>
    <w:rsid w:val="008512C0"/>
    <w:rsid w:val="008D58F6"/>
    <w:rsid w:val="009244DD"/>
    <w:rsid w:val="00933582"/>
    <w:rsid w:val="00936697"/>
    <w:rsid w:val="0099636B"/>
    <w:rsid w:val="009A30FB"/>
    <w:rsid w:val="00A52476"/>
    <w:rsid w:val="00A776B4"/>
    <w:rsid w:val="00A80459"/>
    <w:rsid w:val="00B336D8"/>
    <w:rsid w:val="00B37C95"/>
    <w:rsid w:val="00B64554"/>
    <w:rsid w:val="00B73F3F"/>
    <w:rsid w:val="00B76DA8"/>
    <w:rsid w:val="00B83120"/>
    <w:rsid w:val="00BA4CEB"/>
    <w:rsid w:val="00C03F18"/>
    <w:rsid w:val="00C54BB7"/>
    <w:rsid w:val="00C77003"/>
    <w:rsid w:val="00C8277F"/>
    <w:rsid w:val="00CA77AA"/>
    <w:rsid w:val="00CE2F44"/>
    <w:rsid w:val="00CF5CBA"/>
    <w:rsid w:val="00D02E69"/>
    <w:rsid w:val="00D27526"/>
    <w:rsid w:val="00D3311A"/>
    <w:rsid w:val="00D629E7"/>
    <w:rsid w:val="00D73E00"/>
    <w:rsid w:val="00D97C91"/>
    <w:rsid w:val="00DF686A"/>
    <w:rsid w:val="00E01747"/>
    <w:rsid w:val="00E01D48"/>
    <w:rsid w:val="00EA139C"/>
    <w:rsid w:val="00EB7441"/>
    <w:rsid w:val="00F31F45"/>
    <w:rsid w:val="00F5189F"/>
    <w:rsid w:val="00F83F78"/>
    <w:rsid w:val="00F915EA"/>
    <w:rsid w:val="00FA4932"/>
    <w:rsid w:val="00FC0667"/>
    <w:rsid w:val="00FC7D92"/>
    <w:rsid w:val="15233173"/>
    <w:rsid w:val="2712185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99"/>
    <w:rPr>
      <w:color w:val="0000FF"/>
      <w:u w:val="single"/>
    </w:r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633</Words>
  <Characters>3610</Characters>
  <Lines>30</Lines>
  <Paragraphs>8</Paragraphs>
  <ScaleCrop>false</ScaleCrop>
  <LinksUpToDate>false</LinksUpToDate>
  <CharactersWithSpaces>4235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2017-01-11T08:07:00Z</dcterms:created>
  <dc:creator>徐彤</dc:creator>
  <cp:lastModifiedBy>Administrator</cp:lastModifiedBy>
  <cp:lastPrinted>2017-01-16T02:49:00Z</cp:lastPrinted>
  <dcterms:modified xsi:type="dcterms:W3CDTF">2017-01-17T06:40:07Z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